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51" w:rsidRPr="005A1378" w:rsidRDefault="00ED6C3B">
      <w:pPr>
        <w:rPr>
          <w:b/>
          <w:color w:val="365F91" w:themeColor="accent1" w:themeShade="BF"/>
          <w:u w:val="single"/>
          <w:lang w:val="en-US"/>
        </w:rPr>
      </w:pPr>
      <w:r w:rsidRPr="005A1378">
        <w:rPr>
          <w:b/>
          <w:color w:val="365F91" w:themeColor="accent1" w:themeShade="BF"/>
          <w:u w:val="single"/>
          <w:lang w:val="en-US"/>
        </w:rPr>
        <w:t xml:space="preserve">Clause 60047 -  CONVENTION </w:t>
      </w:r>
      <w:r w:rsidR="005A1378" w:rsidRPr="005A1378">
        <w:rPr>
          <w:b/>
          <w:color w:val="365F91" w:themeColor="accent1" w:themeShade="BF"/>
          <w:u w:val="single"/>
          <w:lang w:val="en-US"/>
        </w:rPr>
        <w:t xml:space="preserve"> </w:t>
      </w:r>
      <w:r w:rsidRPr="005A1378">
        <w:rPr>
          <w:b/>
          <w:color w:val="365F91" w:themeColor="accent1" w:themeShade="BF"/>
          <w:u w:val="single"/>
          <w:lang w:val="en-US"/>
        </w:rPr>
        <w:t>CO-PROPRIETES J. MEUWESE &amp; K. GULBIS</w:t>
      </w:r>
    </w:p>
    <w:p w:rsidR="00ED6C3B" w:rsidRPr="00ED6C3B" w:rsidRDefault="00ED6C3B">
      <w:pPr>
        <w:rPr>
          <w:sz w:val="20"/>
          <w:szCs w:val="20"/>
        </w:rPr>
      </w:pPr>
      <w:r w:rsidRPr="00ED6C3B">
        <w:rPr>
          <w:sz w:val="20"/>
          <w:szCs w:val="20"/>
        </w:rPr>
        <w:t>Par dérogation aux conditions générales du contrat HOME SOLUTIONS PLUS, les extensions de garantie suivantes sont accordées :</w:t>
      </w:r>
    </w:p>
    <w:p w:rsidR="00ED6C3B" w:rsidRPr="00ED6C3B" w:rsidRDefault="00ED6C3B">
      <w:pPr>
        <w:rPr>
          <w:sz w:val="20"/>
          <w:szCs w:val="20"/>
        </w:rPr>
      </w:pPr>
    </w:p>
    <w:p w:rsidR="00ED6C3B" w:rsidRPr="005A1378" w:rsidRDefault="00ED6C3B" w:rsidP="00ED6C3B">
      <w:pPr>
        <w:pStyle w:val="Paragraphedeliste"/>
        <w:numPr>
          <w:ilvl w:val="0"/>
          <w:numId w:val="1"/>
        </w:numPr>
        <w:rPr>
          <w:b/>
          <w:i/>
          <w:sz w:val="20"/>
          <w:szCs w:val="20"/>
        </w:rPr>
      </w:pPr>
      <w:r w:rsidRPr="005A1378">
        <w:rPr>
          <w:b/>
          <w:i/>
          <w:sz w:val="20"/>
          <w:szCs w:val="20"/>
        </w:rPr>
        <w:t>Règle proportionnelle</w:t>
      </w:r>
    </w:p>
    <w:p w:rsidR="00ED6C3B" w:rsidRPr="00ED6C3B" w:rsidRDefault="00ED6C3B" w:rsidP="00ED6C3B">
      <w:pPr>
        <w:ind w:left="708"/>
        <w:rPr>
          <w:sz w:val="20"/>
          <w:szCs w:val="20"/>
        </w:rPr>
      </w:pPr>
      <w:r w:rsidRPr="00ED6C3B">
        <w:rPr>
          <w:sz w:val="20"/>
          <w:szCs w:val="20"/>
        </w:rPr>
        <w:t>L’abrogation de la règle proportionnelle est accordée, soit sur base des éléments actuels de couverture qui ont été remis à la compagnie, soit après expertise du risque par un délégué de la compagnie aux frais de cette dernière.</w:t>
      </w:r>
    </w:p>
    <w:p w:rsidR="00ED6C3B" w:rsidRPr="00ED6C3B" w:rsidRDefault="00ED6C3B" w:rsidP="00ED6C3B">
      <w:pPr>
        <w:ind w:left="708"/>
        <w:rPr>
          <w:sz w:val="20"/>
          <w:szCs w:val="20"/>
        </w:rPr>
      </w:pPr>
      <w:r w:rsidRPr="00ED6C3B">
        <w:rPr>
          <w:sz w:val="20"/>
          <w:szCs w:val="20"/>
        </w:rPr>
        <w:t>Par ailleurs, si le montant expertisé ne dépasse pas de plus de 5% le montant assuré, le capital sera adapté et la prime sera maintenue sur les bases antérieures.</w:t>
      </w:r>
    </w:p>
    <w:p w:rsidR="00ED6C3B" w:rsidRPr="00ED6C3B" w:rsidRDefault="00ED6C3B" w:rsidP="00ED6C3B">
      <w:pPr>
        <w:ind w:left="708"/>
        <w:rPr>
          <w:sz w:val="20"/>
          <w:szCs w:val="20"/>
        </w:rPr>
      </w:pPr>
    </w:p>
    <w:p w:rsidR="00ED6C3B" w:rsidRPr="005A1378" w:rsidRDefault="00ED6C3B" w:rsidP="00ED6C3B">
      <w:pPr>
        <w:pStyle w:val="Paragraphedeliste"/>
        <w:numPr>
          <w:ilvl w:val="0"/>
          <w:numId w:val="1"/>
        </w:numPr>
        <w:rPr>
          <w:b/>
          <w:i/>
          <w:sz w:val="20"/>
          <w:szCs w:val="20"/>
        </w:rPr>
      </w:pPr>
      <w:r w:rsidRPr="005A1378">
        <w:rPr>
          <w:b/>
          <w:i/>
          <w:sz w:val="20"/>
          <w:szCs w:val="20"/>
        </w:rPr>
        <w:t>Dégâts des eaux</w:t>
      </w:r>
    </w:p>
    <w:p w:rsidR="00ED6C3B" w:rsidRPr="00ED6C3B" w:rsidRDefault="00ED6C3B" w:rsidP="00ED6C3B">
      <w:pPr>
        <w:pStyle w:val="Paragraphedeliste"/>
        <w:rPr>
          <w:sz w:val="20"/>
          <w:szCs w:val="20"/>
        </w:rPr>
      </w:pPr>
      <w:r w:rsidRPr="00ED6C3B">
        <w:rPr>
          <w:sz w:val="20"/>
          <w:szCs w:val="20"/>
        </w:rPr>
        <w:t>La garantie « dégâts des eaux » est étendue aux frais de réparation des canalisations elles-mêmes.</w:t>
      </w:r>
    </w:p>
    <w:p w:rsidR="00ED6C3B" w:rsidRPr="00ED6C3B" w:rsidRDefault="00ED6C3B" w:rsidP="00ED6C3B">
      <w:pPr>
        <w:pStyle w:val="Paragraphedeliste"/>
        <w:rPr>
          <w:sz w:val="20"/>
          <w:szCs w:val="20"/>
        </w:rPr>
      </w:pPr>
      <w:r w:rsidRPr="00ED6C3B">
        <w:rPr>
          <w:sz w:val="20"/>
          <w:szCs w:val="20"/>
        </w:rPr>
        <w:t>En ce qui concerne la couverture des frais de recherche de la canalisation à l’origine du sinistre prévue dans les conditions générales, il est précisé qu’il s’agit bien des frais légitimement engagés.</w:t>
      </w:r>
    </w:p>
    <w:p w:rsidR="00ED6C3B" w:rsidRPr="00ED6C3B" w:rsidRDefault="00ED6C3B" w:rsidP="00ED6C3B">
      <w:pPr>
        <w:pStyle w:val="Paragraphedeliste"/>
        <w:rPr>
          <w:sz w:val="20"/>
          <w:szCs w:val="20"/>
        </w:rPr>
      </w:pPr>
    </w:p>
    <w:p w:rsidR="00ED6C3B" w:rsidRPr="00ED6C3B" w:rsidRDefault="00ED6C3B" w:rsidP="00ED6C3B">
      <w:pPr>
        <w:pStyle w:val="Paragraphedeliste"/>
        <w:rPr>
          <w:sz w:val="20"/>
          <w:szCs w:val="20"/>
        </w:rPr>
      </w:pPr>
    </w:p>
    <w:p w:rsidR="00ED6C3B" w:rsidRPr="005A1378" w:rsidRDefault="00ED6C3B" w:rsidP="00ED6C3B">
      <w:pPr>
        <w:pStyle w:val="Paragraphedeliste"/>
        <w:numPr>
          <w:ilvl w:val="0"/>
          <w:numId w:val="1"/>
        </w:numPr>
        <w:rPr>
          <w:b/>
          <w:i/>
          <w:sz w:val="20"/>
          <w:szCs w:val="20"/>
        </w:rPr>
      </w:pPr>
      <w:r w:rsidRPr="005A1378">
        <w:rPr>
          <w:b/>
          <w:i/>
          <w:sz w:val="20"/>
          <w:szCs w:val="20"/>
        </w:rPr>
        <w:t>Bris de vitrages</w:t>
      </w:r>
    </w:p>
    <w:p w:rsidR="00ED6C3B" w:rsidRPr="00ED6C3B" w:rsidRDefault="00ED6C3B" w:rsidP="00ED6C3B">
      <w:pPr>
        <w:pStyle w:val="Paragraphedeliste"/>
        <w:rPr>
          <w:sz w:val="20"/>
          <w:szCs w:val="20"/>
        </w:rPr>
      </w:pPr>
      <w:r w:rsidRPr="00ED6C3B">
        <w:rPr>
          <w:sz w:val="20"/>
          <w:szCs w:val="20"/>
        </w:rPr>
        <w:t>Par extension, sont couverts :</w:t>
      </w:r>
    </w:p>
    <w:p w:rsidR="00ED6C3B" w:rsidRPr="00ED6C3B" w:rsidRDefault="00ED6C3B" w:rsidP="00ED6C3B">
      <w:pPr>
        <w:pStyle w:val="Paragraphedeliste"/>
        <w:numPr>
          <w:ilvl w:val="0"/>
          <w:numId w:val="2"/>
        </w:numPr>
        <w:rPr>
          <w:sz w:val="20"/>
          <w:szCs w:val="20"/>
        </w:rPr>
      </w:pPr>
      <w:r w:rsidRPr="00ED6C3B">
        <w:rPr>
          <w:sz w:val="20"/>
          <w:szCs w:val="20"/>
        </w:rPr>
        <w:t>Les bris de sanitaires ;</w:t>
      </w:r>
    </w:p>
    <w:p w:rsidR="00ED6C3B" w:rsidRPr="00ED6C3B" w:rsidRDefault="00ED6C3B" w:rsidP="00ED6C3B">
      <w:pPr>
        <w:pStyle w:val="Paragraphedeliste"/>
        <w:numPr>
          <w:ilvl w:val="0"/>
          <w:numId w:val="2"/>
        </w:numPr>
        <w:rPr>
          <w:sz w:val="20"/>
          <w:szCs w:val="20"/>
        </w:rPr>
      </w:pPr>
      <w:r w:rsidRPr="00ED6C3B">
        <w:rPr>
          <w:sz w:val="20"/>
          <w:szCs w:val="20"/>
        </w:rPr>
        <w:t>L’opacité des vitrages isolants</w:t>
      </w:r>
      <w:r>
        <w:rPr>
          <w:sz w:val="20"/>
          <w:szCs w:val="20"/>
        </w:rPr>
        <w:t>.</w:t>
      </w:r>
    </w:p>
    <w:p w:rsidR="00ED6C3B" w:rsidRDefault="00ED6C3B" w:rsidP="00ED6C3B">
      <w:pPr>
        <w:pStyle w:val="Paragraphedeliste"/>
        <w:rPr>
          <w:sz w:val="20"/>
          <w:szCs w:val="20"/>
        </w:rPr>
      </w:pPr>
    </w:p>
    <w:p w:rsidR="00ED6C3B" w:rsidRPr="00ED6C3B" w:rsidRDefault="00ED6C3B" w:rsidP="00ED6C3B">
      <w:pPr>
        <w:pStyle w:val="Paragraphedeliste"/>
        <w:rPr>
          <w:sz w:val="20"/>
          <w:szCs w:val="20"/>
        </w:rPr>
      </w:pPr>
    </w:p>
    <w:p w:rsidR="00ED6C3B" w:rsidRPr="005A1378" w:rsidRDefault="00ED6C3B" w:rsidP="00ED6C3B">
      <w:pPr>
        <w:pStyle w:val="Paragraphedeliste"/>
        <w:numPr>
          <w:ilvl w:val="0"/>
          <w:numId w:val="1"/>
        </w:numPr>
        <w:rPr>
          <w:b/>
          <w:i/>
          <w:sz w:val="20"/>
          <w:szCs w:val="20"/>
        </w:rPr>
      </w:pPr>
      <w:r w:rsidRPr="005A1378">
        <w:rPr>
          <w:b/>
          <w:i/>
          <w:sz w:val="20"/>
          <w:szCs w:val="20"/>
        </w:rPr>
        <w:t>Dégradations immobilières</w:t>
      </w:r>
    </w:p>
    <w:p w:rsidR="00ED6C3B" w:rsidRDefault="00ED6C3B" w:rsidP="00ED6C3B">
      <w:pPr>
        <w:pStyle w:val="Paragraphedeliste"/>
        <w:rPr>
          <w:sz w:val="20"/>
          <w:szCs w:val="20"/>
        </w:rPr>
      </w:pPr>
      <w:r>
        <w:rPr>
          <w:sz w:val="20"/>
          <w:szCs w:val="20"/>
        </w:rPr>
        <w:t>Les dégradations immobilières sont couvertes jusqu’à concurrence de 5.000€, en ce compris le vandalisme et les graffitis.</w:t>
      </w:r>
    </w:p>
    <w:p w:rsidR="00ED6C3B" w:rsidRPr="00ED6C3B" w:rsidRDefault="00ED6C3B" w:rsidP="00ED6C3B">
      <w:pPr>
        <w:rPr>
          <w:sz w:val="20"/>
          <w:szCs w:val="20"/>
        </w:rPr>
      </w:pPr>
    </w:p>
    <w:p w:rsidR="00ED6C3B" w:rsidRPr="005A1378" w:rsidRDefault="00ED6C3B" w:rsidP="00ED6C3B">
      <w:pPr>
        <w:pStyle w:val="Paragraphedeliste"/>
        <w:numPr>
          <w:ilvl w:val="0"/>
          <w:numId w:val="1"/>
        </w:numPr>
        <w:rPr>
          <w:b/>
          <w:i/>
          <w:sz w:val="20"/>
          <w:szCs w:val="20"/>
        </w:rPr>
      </w:pPr>
      <w:r w:rsidRPr="005A1378">
        <w:rPr>
          <w:b/>
          <w:i/>
          <w:sz w:val="20"/>
          <w:szCs w:val="20"/>
        </w:rPr>
        <w:t>Pertes indirectes</w:t>
      </w:r>
    </w:p>
    <w:p w:rsidR="00ED6C3B" w:rsidRDefault="005A1378" w:rsidP="005A1378">
      <w:pPr>
        <w:pStyle w:val="Paragraphedeliste"/>
        <w:numPr>
          <w:ilvl w:val="0"/>
          <w:numId w:val="2"/>
        </w:numPr>
        <w:rPr>
          <w:sz w:val="20"/>
          <w:szCs w:val="20"/>
        </w:rPr>
      </w:pPr>
      <w:r>
        <w:rPr>
          <w:sz w:val="20"/>
          <w:szCs w:val="20"/>
        </w:rPr>
        <w:t>Garantie de base : majoration automatique et sans surprime de l’indemnité à concurrence de</w:t>
      </w:r>
    </w:p>
    <w:p w:rsidR="005A1378" w:rsidRDefault="005A1378" w:rsidP="005A1378">
      <w:pPr>
        <w:pStyle w:val="Paragraphedeliste"/>
        <w:ind w:left="2124"/>
        <w:rPr>
          <w:sz w:val="20"/>
          <w:szCs w:val="20"/>
        </w:rPr>
      </w:pPr>
      <w:r>
        <w:rPr>
          <w:sz w:val="20"/>
          <w:szCs w:val="20"/>
        </w:rPr>
        <w:t xml:space="preserve">           5% pour tout sinistre de plus de 1.250€.</w:t>
      </w:r>
    </w:p>
    <w:p w:rsidR="005A1378" w:rsidRDefault="005A1378" w:rsidP="005A1378">
      <w:pPr>
        <w:pStyle w:val="Paragraphedeliste"/>
        <w:numPr>
          <w:ilvl w:val="0"/>
          <w:numId w:val="2"/>
        </w:numPr>
        <w:rPr>
          <w:sz w:val="20"/>
          <w:szCs w:val="20"/>
        </w:rPr>
      </w:pPr>
      <w:r>
        <w:rPr>
          <w:sz w:val="20"/>
          <w:szCs w:val="20"/>
        </w:rPr>
        <w:t xml:space="preserve">Garantie optionnelle : majoration de l’indemnité à concurrence de 10% si vous avez opté pour </w:t>
      </w:r>
    </w:p>
    <w:p w:rsidR="005A1378" w:rsidRDefault="005A1378" w:rsidP="005A1378">
      <w:pPr>
        <w:pStyle w:val="Paragraphedeliste"/>
        <w:ind w:left="2124"/>
        <w:rPr>
          <w:sz w:val="20"/>
          <w:szCs w:val="20"/>
        </w:rPr>
      </w:pPr>
      <w:r>
        <w:rPr>
          <w:sz w:val="20"/>
          <w:szCs w:val="20"/>
        </w:rPr>
        <w:t xml:space="preserve">           cette garantie, moyennant une surprime de 5%.</w:t>
      </w:r>
    </w:p>
    <w:p w:rsidR="005A1378" w:rsidRDefault="005A1378" w:rsidP="005A1378">
      <w:pPr>
        <w:pStyle w:val="Paragraphedeliste"/>
        <w:numPr>
          <w:ilvl w:val="0"/>
          <w:numId w:val="2"/>
        </w:numPr>
        <w:rPr>
          <w:sz w:val="20"/>
          <w:szCs w:val="20"/>
        </w:rPr>
      </w:pPr>
      <w:r>
        <w:rPr>
          <w:sz w:val="20"/>
          <w:szCs w:val="20"/>
        </w:rPr>
        <w:t xml:space="preserve">Si souscription de « l’addendum convention co-propriétés SPRL Meuwèse &amp; K. Gulbis » (avec          </w:t>
      </w:r>
    </w:p>
    <w:p w:rsidR="005A1378" w:rsidRDefault="005A1378" w:rsidP="005A1378">
      <w:pPr>
        <w:pStyle w:val="Paragraphedeliste"/>
        <w:ind w:left="2604"/>
        <w:rPr>
          <w:sz w:val="20"/>
          <w:szCs w:val="20"/>
        </w:rPr>
      </w:pPr>
      <w:r>
        <w:rPr>
          <w:sz w:val="20"/>
          <w:szCs w:val="20"/>
        </w:rPr>
        <w:t>majoration du taux de 0,05°/°°), cumul des avantages décrits dans l’addendum avec ceux de la présente convention.</w:t>
      </w:r>
    </w:p>
    <w:p w:rsidR="005A1378" w:rsidRPr="005A1378" w:rsidRDefault="005A1378" w:rsidP="005A1378">
      <w:pPr>
        <w:rPr>
          <w:sz w:val="20"/>
          <w:szCs w:val="20"/>
        </w:rPr>
      </w:pPr>
    </w:p>
    <w:p w:rsidR="00ED6C3B" w:rsidRPr="005A1378" w:rsidRDefault="00ED6C3B" w:rsidP="00ED6C3B">
      <w:pPr>
        <w:pStyle w:val="Paragraphedeliste"/>
        <w:numPr>
          <w:ilvl w:val="0"/>
          <w:numId w:val="1"/>
        </w:numPr>
        <w:rPr>
          <w:b/>
          <w:i/>
          <w:sz w:val="20"/>
          <w:szCs w:val="20"/>
        </w:rPr>
      </w:pPr>
      <w:r w:rsidRPr="005A1378">
        <w:rPr>
          <w:b/>
          <w:i/>
          <w:sz w:val="20"/>
          <w:szCs w:val="20"/>
        </w:rPr>
        <w:t>R.C. Ascenseurs</w:t>
      </w:r>
    </w:p>
    <w:p w:rsidR="005A1378" w:rsidRPr="00ED6C3B" w:rsidRDefault="005A1378" w:rsidP="005A1378">
      <w:pPr>
        <w:pStyle w:val="Paragraphedeliste"/>
        <w:rPr>
          <w:sz w:val="20"/>
          <w:szCs w:val="20"/>
        </w:rPr>
      </w:pPr>
      <w:r>
        <w:rPr>
          <w:sz w:val="20"/>
          <w:szCs w:val="20"/>
        </w:rPr>
        <w:t>En cas de sinistre de cet ordre, aucun recours ne sera exercé vis-à-vis des copropriétaires, de la copropriété et du syndic, pour autant que les ascenseurs soient entretenus annuellement par un organisme agréé.  La conformité au RGPT ne sera pas exigée dans ce cas.</w:t>
      </w:r>
    </w:p>
    <w:p w:rsidR="00AC7B06" w:rsidRPr="00AC7B06" w:rsidRDefault="00AC7B06" w:rsidP="00AC7B06">
      <w:pPr>
        <w:pStyle w:val="Paragraphedeliste"/>
        <w:ind w:left="3930"/>
        <w:rPr>
          <w:sz w:val="18"/>
          <w:szCs w:val="18"/>
        </w:rPr>
      </w:pPr>
      <w:r>
        <w:rPr>
          <w:sz w:val="18"/>
          <w:szCs w:val="18"/>
        </w:rPr>
        <w:t xml:space="preserve">  * * * *</w:t>
      </w:r>
    </w:p>
    <w:sectPr w:rsidR="00AC7B06" w:rsidRPr="00AC7B06" w:rsidSect="00032D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031FC"/>
    <w:multiLevelType w:val="hybridMultilevel"/>
    <w:tmpl w:val="94587776"/>
    <w:lvl w:ilvl="0" w:tplc="2A1030A4">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69AE74E7"/>
    <w:multiLevelType w:val="hybridMultilevel"/>
    <w:tmpl w:val="92D811E8"/>
    <w:lvl w:ilvl="0" w:tplc="266EAFE0">
      <w:numFmt w:val="bullet"/>
      <w:lvlText w:val=""/>
      <w:lvlJc w:val="left"/>
      <w:pPr>
        <w:ind w:left="3930" w:hanging="360"/>
      </w:pPr>
      <w:rPr>
        <w:rFonts w:ascii="Symbol" w:eastAsiaTheme="minorHAnsi" w:hAnsi="Symbol" w:cstheme="minorBidi" w:hint="default"/>
      </w:rPr>
    </w:lvl>
    <w:lvl w:ilvl="1" w:tplc="040C0003" w:tentative="1">
      <w:start w:val="1"/>
      <w:numFmt w:val="bullet"/>
      <w:lvlText w:val="o"/>
      <w:lvlJc w:val="left"/>
      <w:pPr>
        <w:ind w:left="4650" w:hanging="360"/>
      </w:pPr>
      <w:rPr>
        <w:rFonts w:ascii="Courier New" w:hAnsi="Courier New" w:cs="Courier New" w:hint="default"/>
      </w:rPr>
    </w:lvl>
    <w:lvl w:ilvl="2" w:tplc="040C0005" w:tentative="1">
      <w:start w:val="1"/>
      <w:numFmt w:val="bullet"/>
      <w:lvlText w:val=""/>
      <w:lvlJc w:val="left"/>
      <w:pPr>
        <w:ind w:left="5370" w:hanging="360"/>
      </w:pPr>
      <w:rPr>
        <w:rFonts w:ascii="Wingdings" w:hAnsi="Wingdings" w:hint="default"/>
      </w:rPr>
    </w:lvl>
    <w:lvl w:ilvl="3" w:tplc="040C0001" w:tentative="1">
      <w:start w:val="1"/>
      <w:numFmt w:val="bullet"/>
      <w:lvlText w:val=""/>
      <w:lvlJc w:val="left"/>
      <w:pPr>
        <w:ind w:left="6090" w:hanging="360"/>
      </w:pPr>
      <w:rPr>
        <w:rFonts w:ascii="Symbol" w:hAnsi="Symbol" w:hint="default"/>
      </w:rPr>
    </w:lvl>
    <w:lvl w:ilvl="4" w:tplc="040C0003" w:tentative="1">
      <w:start w:val="1"/>
      <w:numFmt w:val="bullet"/>
      <w:lvlText w:val="o"/>
      <w:lvlJc w:val="left"/>
      <w:pPr>
        <w:ind w:left="6810" w:hanging="360"/>
      </w:pPr>
      <w:rPr>
        <w:rFonts w:ascii="Courier New" w:hAnsi="Courier New" w:cs="Courier New" w:hint="default"/>
      </w:rPr>
    </w:lvl>
    <w:lvl w:ilvl="5" w:tplc="040C0005" w:tentative="1">
      <w:start w:val="1"/>
      <w:numFmt w:val="bullet"/>
      <w:lvlText w:val=""/>
      <w:lvlJc w:val="left"/>
      <w:pPr>
        <w:ind w:left="7530" w:hanging="360"/>
      </w:pPr>
      <w:rPr>
        <w:rFonts w:ascii="Wingdings" w:hAnsi="Wingdings" w:hint="default"/>
      </w:rPr>
    </w:lvl>
    <w:lvl w:ilvl="6" w:tplc="040C0001" w:tentative="1">
      <w:start w:val="1"/>
      <w:numFmt w:val="bullet"/>
      <w:lvlText w:val=""/>
      <w:lvlJc w:val="left"/>
      <w:pPr>
        <w:ind w:left="8250" w:hanging="360"/>
      </w:pPr>
      <w:rPr>
        <w:rFonts w:ascii="Symbol" w:hAnsi="Symbol" w:hint="default"/>
      </w:rPr>
    </w:lvl>
    <w:lvl w:ilvl="7" w:tplc="040C0003" w:tentative="1">
      <w:start w:val="1"/>
      <w:numFmt w:val="bullet"/>
      <w:lvlText w:val="o"/>
      <w:lvlJc w:val="left"/>
      <w:pPr>
        <w:ind w:left="8970" w:hanging="360"/>
      </w:pPr>
      <w:rPr>
        <w:rFonts w:ascii="Courier New" w:hAnsi="Courier New" w:cs="Courier New" w:hint="default"/>
      </w:rPr>
    </w:lvl>
    <w:lvl w:ilvl="8" w:tplc="040C0005" w:tentative="1">
      <w:start w:val="1"/>
      <w:numFmt w:val="bullet"/>
      <w:lvlText w:val=""/>
      <w:lvlJc w:val="left"/>
      <w:pPr>
        <w:ind w:left="9690" w:hanging="360"/>
      </w:pPr>
      <w:rPr>
        <w:rFonts w:ascii="Wingdings" w:hAnsi="Wingdings" w:hint="default"/>
      </w:rPr>
    </w:lvl>
  </w:abstractNum>
  <w:abstractNum w:abstractNumId="2">
    <w:nsid w:val="6DF23B7A"/>
    <w:multiLevelType w:val="hybridMultilevel"/>
    <w:tmpl w:val="2408BB3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D6C3B"/>
    <w:rsid w:val="00032D51"/>
    <w:rsid w:val="0008700F"/>
    <w:rsid w:val="000D397B"/>
    <w:rsid w:val="000F5CDC"/>
    <w:rsid w:val="005A1378"/>
    <w:rsid w:val="00841BD4"/>
    <w:rsid w:val="00AC7B06"/>
    <w:rsid w:val="00E7585A"/>
    <w:rsid w:val="00ED6C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D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6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57409</dc:creator>
  <cp:lastModifiedBy>Hugues Raveschot</cp:lastModifiedBy>
  <cp:revision>2</cp:revision>
  <cp:lastPrinted>2009-06-23T06:43:00Z</cp:lastPrinted>
  <dcterms:created xsi:type="dcterms:W3CDTF">2012-11-27T15:11:00Z</dcterms:created>
  <dcterms:modified xsi:type="dcterms:W3CDTF">2012-11-27T15:11:00Z</dcterms:modified>
</cp:coreProperties>
</file>