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Evere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595.000 €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8824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Evere, proche des institutions, des commerces, des transports et de toutes les commodités,  votre agence Century 21 Diamant vous propose cette spacieuse maison de rapport aménagée en 3 unités.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Au rez-de-chaussée, se trouve une monumentale entrée cochère qui  peut servir à de multiples usages: emplacement vélos, deux roues etc.  Cette unité de logement  dispose d'un  spacieux et lumineux séjour/ cuisine de +/- 41m²; d'une grande chambre de +/-20m²; une salle de bain de 11m² et d'un atelier de +/-70m², Ce dernier peut toutefois être intégré et suivre le prolongement de l'appartement pour porter la superficie totale  à 140m² habitable.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premier et second étages se composent respectivement: d'un hall, d'un séjour; d'une cuisine, d'une salle de douche, d'un W.c et d'une chambre.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Rez-de-chaussée: superficie 140m²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Unité du 1er étage: 62m²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Unité du 2 ème étage: 50m²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 qu'on aime c'est l'entrée cochère, les volumes et la valeur certaine du rendement locatif.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Dossier complet disponible sur demande: 02/245,21,21 ou info@century21diamant.com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Bien de rapport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3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250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Aucun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Rez-de-chaussée: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 11,00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20,00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Entrepot 70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+ cuisine 31,00 m²</w:t>
                  </w:r>
                </w:p>
                <w:p>
                  <w:pPr>
                    <w:pStyle w:val="Type de détail"/>
                  </w:pPr>
                  <w:r>
                    <w:t xml:space="preserve">1ère étage: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d'entrée 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7,00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douches 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21,00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2ème étage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bains 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+ cuisine  30,00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CO2 183,00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f et G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